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宝安区建筑行业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施工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企业综合实力百强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评审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评分细则</w:t>
      </w:r>
    </w:p>
    <w:p>
      <w:pPr>
        <w:jc w:val="both"/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名称：</w:t>
      </w:r>
    </w:p>
    <w:p>
      <w:pPr>
        <w:spacing w:line="360" w:lineRule="auto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原始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指标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总分合计：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120分                                                       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</w:p>
    <w:p>
      <w:pPr>
        <w:spacing w:line="360" w:lineRule="auto"/>
        <w:jc w:val="both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企业自评得分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合计：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pPr>
        <w:spacing w:line="360" w:lineRule="auto"/>
        <w:jc w:val="both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专家评估得分合计：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</w:t>
      </w:r>
    </w:p>
    <w:tbl>
      <w:tblPr>
        <w:tblStyle w:val="6"/>
        <w:tblpPr w:leftFromText="180" w:rightFromText="180" w:vertAnchor="text" w:horzAnchor="page" w:tblpX="848" w:tblpY="524"/>
        <w:tblOverlap w:val="never"/>
        <w:tblW w:w="152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335"/>
        <w:gridCol w:w="2895"/>
        <w:gridCol w:w="1080"/>
        <w:gridCol w:w="6525"/>
        <w:gridCol w:w="1271"/>
        <w:gridCol w:w="1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企业注册地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企业注册地与办公场地条件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企业注册地与办公场所一致的记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分，办公场所空间达到150㎡以上的记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分，需提供房屋租赁凭证或房产证。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资质证书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总承包、专业承包多少项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一级专业承包每一项记2分，二级总承包每一项记2分，一级总承包每一项记3分，特级资质记10分，计满为止。需提供全国四库一平台查询截图，资质证书原件备查。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资产规模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固定资产规模大小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固定资产规模在200万-300万记1分，300-500万记2分，500-1000万记3分，1000-2000万记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分，2000-5000万记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分，5000万以上记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分，计满为止。需提供有效证明或发票。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建筑业总产值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建筑业总产值规模多少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5000万-1亿记1分，1-1.5亿记2分，1.5-2亿记3分，2-3亿记4分，3-4亿记5分、4-6亿记6分、6-7亿记7分、7亿以上记8分。需提供区统计局的“国家一套表”系统中导出的年报表C204-1表。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总计分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百强企业经营规模</w:t>
      </w:r>
      <w:r>
        <w:rPr>
          <w:rFonts w:ascii="宋体" w:hAnsi="宋体" w:eastAsia="宋体" w:cs="宋体"/>
          <w:b/>
          <w:bCs/>
          <w:sz w:val="28"/>
          <w:szCs w:val="28"/>
        </w:rPr>
        <w:t>评分细则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（二）百强企业经济效益评分细则</w:t>
      </w:r>
    </w:p>
    <w:p>
      <w:pPr>
        <w:spacing w:line="167" w:lineRule="exact"/>
      </w:pPr>
    </w:p>
    <w:tbl>
      <w:tblPr>
        <w:tblStyle w:val="6"/>
        <w:tblW w:w="15270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343"/>
        <w:gridCol w:w="2925"/>
        <w:gridCol w:w="1080"/>
        <w:gridCol w:w="6525"/>
        <w:gridCol w:w="1275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营业收入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全年营业收入多少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2000万-5000万记1分，5000万-1亿记2分，1-2亿记3分，2-3亿记4分，3亿以上记5分。需提供企业所得税年度纳税申报表。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企业缴税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全年企业缴纳税额多少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年度纳税额50-100万记1分，100-200万记2分，200-500万记3分，500-1000万记4分，1000万以上记5分，计满为止。需提供国家税务总局深圳市宝安区税务局纳税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提供上一年度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证明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和本年企业税务的报表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利润总额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盈利能力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利润总额50-100万记1分，100-200万记2分，200-300万记3分，300-400万记4分，400万以上记5分。需提供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上一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年度审计报告。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主营业务利润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主营业务利润盈利能力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主营业务利润100-200万记1分，200-300万记2分，300-400万记3分，400-500万记4分，500万以上记5分。需提供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上一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年度审计报告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和本年的报表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产值利润率</w:t>
            </w:r>
          </w:p>
        </w:tc>
        <w:tc>
          <w:tcPr>
            <w:tcW w:w="29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产值利润率多少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产值利润率1%-2%记1分，2%-3%记2分，3%-4%记3分,4%-5%记4分，5%以上记5分。需提供年度审计报告。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总计分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  <w:b/>
                <w:bCs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  <w:b/>
                <w:bCs/>
              </w:rPr>
            </w:pPr>
          </w:p>
        </w:tc>
      </w:tr>
    </w:tbl>
    <w:p/>
    <w:p>
      <w:pPr>
        <w:jc w:val="both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   </w:t>
      </w:r>
    </w:p>
    <w:p>
      <w:pPr>
        <w:spacing w:line="360" w:lineRule="auto"/>
        <w:jc w:val="both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（三）百强企业科技进步评分细则</w:t>
      </w:r>
    </w:p>
    <w:p/>
    <w:tbl>
      <w:tblPr>
        <w:tblStyle w:val="6"/>
        <w:tblW w:w="15240" w:type="dxa"/>
        <w:tblInd w:w="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343"/>
        <w:gridCol w:w="2940"/>
        <w:gridCol w:w="1095"/>
        <w:gridCol w:w="6510"/>
        <w:gridCol w:w="1245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72" w:type="dxa"/>
            <w:vMerge w:val="restart"/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spacing w:before="56" w:line="187" w:lineRule="auto"/>
              <w:ind w:firstLine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科技进步</w:t>
            </w:r>
          </w:p>
        </w:tc>
        <w:tc>
          <w:tcPr>
            <w:tcW w:w="294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是否建立健全科技研发制度，是否成立研发团队，是否建立研发台帐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1.5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建立科技研发制度记0.5分；成立研发团队记0.5分；建立研发台账记0.5分。需提供制度和台账目录。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55" w:line="180" w:lineRule="auto"/>
              <w:ind w:firstLine="4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是否定期开展科技研发、申报并获得科技进步相关奖项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国家级科技进步一、二、三等奖项，每项分别记0.9、0.8、0.7分；获省部级科技进步一、二、三等奖，每项分别记0.8、0.7、0.6分；获市级科技进步一、二、三等奖，每项分别记0.7、0.6、0.5分；获中国詹天佑土木工程大奖每项记0.5分；计满为止。需提供获奖证书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工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法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是否定期开展工法编制、申报并形成相关QC成果或工法；取得相关专利、软著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2.5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获国家级、省级、市级工法或QC，每项分别记0.3、0.2、0.1分；取得发明、实用新型专利、计算机软件著作权登记证书每项分别记0.3、0.2、0.1分；计满为止。需提供专利、软著证书。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新技术应用示范工程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是否定期开展新技术应用工程立项、验收并获得相关奖项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1.5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获国家、省级、市级新技术应用示范工程，每项分别记0.5、0.4、0.3分。计满为止。需提供获奖证书。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绿色施工示范工程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是否定期开展绿色施工示范工程立项、验收并获得相关奖项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1.5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获全国、省级、市级绿色施工示范工程，每项分别记0.5、0.4、0.3分，计满为止。需提供获奖证书。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获得奖项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中国建筑工程鲁班奖、国家优质工程奖、全国建筑工程装饰奖等国家级奖项每项记1分；获省级建设工程优质奖、省级优质结构奖、省级安全文明样板工地、省级优秀建筑装饰工程奖每项记0.8分；获地市级优质工程奖、地市级安全文明样板工地、市级优秀建筑装饰工程奖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、深圳市红榜工地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每项记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分。计满为止。需提供获奖证书。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(2020至2021年2年内)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55" w:type="dxa"/>
            <w:gridSpan w:val="3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总计分</w:t>
            </w:r>
          </w:p>
        </w:tc>
        <w:tc>
          <w:tcPr>
            <w:tcW w:w="1095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15</w:t>
            </w:r>
          </w:p>
        </w:tc>
        <w:tc>
          <w:tcPr>
            <w:tcW w:w="6510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</w:tbl>
    <w:p/>
    <w:p/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 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（四）百强企业行业诚信评分细则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</w:p>
    <w:tbl>
      <w:tblPr>
        <w:tblStyle w:val="6"/>
        <w:tblW w:w="153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365"/>
        <w:gridCol w:w="2899"/>
        <w:gridCol w:w="1136"/>
        <w:gridCol w:w="6525"/>
        <w:gridCol w:w="1260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06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  <w:p>
            <w:pPr>
              <w:spacing w:before="55" w:line="180" w:lineRule="auto"/>
              <w:ind w:firstLine="426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诚信建设</w:t>
            </w:r>
          </w:p>
        </w:tc>
        <w:tc>
          <w:tcPr>
            <w:tcW w:w="2899" w:type="dxa"/>
            <w:tcBorders>
              <w:left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是否加强自身诚信自律制度建设</w:t>
            </w:r>
          </w:p>
        </w:tc>
        <w:tc>
          <w:tcPr>
            <w:tcW w:w="1136" w:type="dxa"/>
            <w:vAlign w:val="center"/>
          </w:tcPr>
          <w:p>
            <w:pPr>
              <w:pStyle w:val="7"/>
              <w:spacing w:before="55" w:line="229" w:lineRule="auto"/>
              <w:ind w:left="0" w:leftChars="0" w:right="88" w:rightChars="0" w:firstLine="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525" w:type="dxa"/>
            <w:vAlign w:val="center"/>
          </w:tcPr>
          <w:p>
            <w:pPr>
              <w:pStyle w:val="7"/>
              <w:spacing w:before="55" w:line="229" w:lineRule="auto"/>
              <w:ind w:right="88" w:rightChars="0" w:firstLine="0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《公司诚信建设管理制度》或与深圳市宝安区建筑行业协会签署的《宝安区建筑行业诚信自律公约》（或等效文件）记1分。需提供证明文件。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06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纳入统计</w:t>
            </w:r>
          </w:p>
        </w:tc>
        <w:tc>
          <w:tcPr>
            <w:tcW w:w="2899" w:type="dxa"/>
            <w:tcBorders>
              <w:lef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是否纳入行业统计</w:t>
            </w:r>
          </w:p>
        </w:tc>
        <w:tc>
          <w:tcPr>
            <w:tcW w:w="1136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3</w:t>
            </w:r>
          </w:p>
        </w:tc>
        <w:tc>
          <w:tcPr>
            <w:tcW w:w="6525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纳入宝安区统计记2分，按时在国家统计联网直报平台填报统计数据的，记1分。需提供相关证明材料。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06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信用企业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评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级</w:t>
            </w:r>
          </w:p>
        </w:tc>
        <w:tc>
          <w:tcPr>
            <w:tcW w:w="2899" w:type="dxa"/>
            <w:tcBorders>
              <w:lef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是否参与信用企业评级</w:t>
            </w:r>
          </w:p>
        </w:tc>
        <w:tc>
          <w:tcPr>
            <w:tcW w:w="1136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3</w:t>
            </w:r>
          </w:p>
        </w:tc>
        <w:tc>
          <w:tcPr>
            <w:tcW w:w="6525" w:type="dxa"/>
            <w:vAlign w:val="center"/>
          </w:tcPr>
          <w:p>
            <w:pPr>
              <w:spacing w:before="55" w:line="228" w:lineRule="auto"/>
              <w:ind w:left="31" w:right="151" w:hanging="1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获全国建筑业3A级信用企业评定记3分，获省3A级信用企业评定记2.5分，获地市级2A级信用企业评定记2分。需提供证明文件。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06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合同履约</w:t>
            </w:r>
          </w:p>
        </w:tc>
        <w:tc>
          <w:tcPr>
            <w:tcW w:w="2899" w:type="dxa"/>
            <w:tcBorders>
              <w:lef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是否参与重合同守信誉评选</w:t>
            </w:r>
          </w:p>
        </w:tc>
        <w:tc>
          <w:tcPr>
            <w:tcW w:w="1136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3</w:t>
            </w:r>
          </w:p>
        </w:tc>
        <w:tc>
          <w:tcPr>
            <w:tcW w:w="6525" w:type="dxa"/>
            <w:vAlign w:val="center"/>
          </w:tcPr>
          <w:p>
            <w:pPr>
              <w:spacing w:before="55" w:line="228" w:lineRule="auto"/>
              <w:ind w:left="31" w:right="151" w:hanging="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获国家级“重合同守信用”荣誉记3分、省级“重合同守信用”荣誉记2.5分、市级“重合同守信用”荣誉记2分。需提供证明文件。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gridSpan w:val="3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总计分</w:t>
            </w:r>
          </w:p>
        </w:tc>
        <w:tc>
          <w:tcPr>
            <w:tcW w:w="1136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10</w:t>
            </w:r>
          </w:p>
        </w:tc>
        <w:tc>
          <w:tcPr>
            <w:tcW w:w="6525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pPr>
        <w:spacing w:before="55" w:line="228" w:lineRule="auto"/>
        <w:ind w:left="31" w:right="151" w:hanging="1"/>
        <w:rPr>
          <w:rFonts w:ascii="宋体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</w:t>
      </w:r>
      <w:r>
        <w:rPr>
          <w:rFonts w:ascii="宋体"/>
        </w:rPr>
        <w:br w:type="page"/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（五）百强企业党建工作和社会责任评分细则</w:t>
      </w:r>
    </w:p>
    <w:p>
      <w:pPr>
        <w:spacing w:line="90" w:lineRule="exact"/>
      </w:pPr>
    </w:p>
    <w:p>
      <w:pPr>
        <w:spacing w:line="193" w:lineRule="exact"/>
        <w:rPr>
          <w:rFonts w:ascii="宋体"/>
          <w:sz w:val="15"/>
        </w:rPr>
      </w:pPr>
    </w:p>
    <w:tbl>
      <w:tblPr>
        <w:tblStyle w:val="6"/>
        <w:tblW w:w="152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365"/>
        <w:gridCol w:w="2895"/>
        <w:gridCol w:w="1140"/>
        <w:gridCol w:w="6540"/>
        <w:gridCol w:w="1260"/>
        <w:gridCol w:w="1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  <w:p>
            <w:pPr>
              <w:spacing w:before="55" w:line="180" w:lineRule="auto"/>
              <w:ind w:firstLine="4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党组织建设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企业是否建立健全党组织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spacing w:before="55" w:line="229" w:lineRule="auto"/>
              <w:ind w:right="88" w:rightChars="0"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40" w:type="dxa"/>
            <w:vAlign w:val="center"/>
          </w:tcPr>
          <w:p>
            <w:pPr>
              <w:pStyle w:val="7"/>
              <w:spacing w:before="55" w:line="229" w:lineRule="auto"/>
              <w:ind w:left="31" w:leftChars="0" w:right="88" w:rightChars="0" w:firstLine="0" w:firstLineChars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建立党支部记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分，建立联合党委记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分，单独建立党委记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计满为止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。需提供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党组织成立批准文件。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工会建设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企业是否成立工会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spacing w:before="55" w:line="229" w:lineRule="auto"/>
              <w:ind w:right="88" w:rightChars="0" w:firstLine="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40" w:type="dxa"/>
            <w:vAlign w:val="center"/>
          </w:tcPr>
          <w:p>
            <w:pPr>
              <w:pStyle w:val="7"/>
              <w:spacing w:before="55" w:line="229" w:lineRule="auto"/>
              <w:ind w:left="31" w:leftChars="0" w:right="88" w:rightChars="0" w:firstLine="0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企业有成立工会记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1分，工会有交会费记1分，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计满为止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。需提供成立工会批复文件，工会缴纳会费税收完税证明。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团支部建设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企业是否成立团支部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spacing w:before="55" w:line="229" w:lineRule="auto"/>
              <w:ind w:right="88" w:rightChars="0" w:firstLine="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40" w:type="dxa"/>
            <w:vAlign w:val="center"/>
          </w:tcPr>
          <w:p>
            <w:pPr>
              <w:pStyle w:val="7"/>
              <w:spacing w:before="55" w:line="229" w:lineRule="auto"/>
              <w:ind w:left="31" w:leftChars="0" w:right="88" w:rightChars="0" w:firstLine="0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企业成立团支部记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1分，需提供批复文件和相关证明材料。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企业荣誉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38" w:line="229" w:lineRule="auto"/>
              <w:ind w:left="28" w:leftChars="0" w:right="151" w:rightChars="0" w:firstLine="2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荣获区县级相关职能部门及行业协会颁发的荣誉</w:t>
            </w:r>
          </w:p>
        </w:tc>
        <w:tc>
          <w:tcPr>
            <w:tcW w:w="1140" w:type="dxa"/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贡献奖每项记1分，突出贡献奖每项记2分，特别贡献奖每项记3分，先进单位每项记3分，同一次行为，只计算一次最高得分，计满为止。需提供近2年的相关证明材料。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应急抢险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38" w:line="229" w:lineRule="auto"/>
              <w:ind w:left="28" w:leftChars="0" w:right="151" w:rightChars="0" w:firstLine="2" w:firstLine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是否积极参与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应急抢险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工作</w:t>
            </w:r>
          </w:p>
        </w:tc>
        <w:tc>
          <w:tcPr>
            <w:tcW w:w="1140" w:type="dxa"/>
            <w:vAlign w:val="center"/>
          </w:tcPr>
          <w:p>
            <w:pPr>
              <w:spacing w:before="56" w:line="180" w:lineRule="auto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2.5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参加应急抢险工程建设受区县级以上部门表彰的每项记2.5分，区县级以上应急抢险单位记2.5分，镇政府或街道办表彰的每项记1分，计满为止。需提供近2年的相关证明材料。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履行社会责任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38" w:line="229" w:lineRule="auto"/>
              <w:ind w:left="28" w:leftChars="0" w:right="151" w:rightChars="0" w:firstLine="2" w:firstLine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参与慈善、救助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脱贫攻坚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、乡村振兴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等公益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活动</w:t>
            </w:r>
          </w:p>
        </w:tc>
        <w:tc>
          <w:tcPr>
            <w:tcW w:w="1140" w:type="dxa"/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慈善捐赠1000-2000元记0.5分，2000以上-5000元记1分，5000以上-10000元记2分，10000以上-15000元记3分，15000以上-25000元记4分，25000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以上记5分，计满为止。需提供近2年的转账凭证或慈善机构开具的票据。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229" w:lineRule="auto"/>
              <w:ind w:right="98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抗疫为</w:t>
            </w:r>
            <w:r>
              <w:rPr>
                <w:rFonts w:ascii="宋体" w:hAnsi="宋体" w:eastAsia="宋体" w:cs="宋体"/>
                <w:sz w:val="20"/>
                <w:szCs w:val="20"/>
              </w:rPr>
              <w:t>民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38" w:line="229" w:lineRule="auto"/>
              <w:ind w:left="28" w:leftChars="0" w:right="151" w:rightChars="0" w:firstLine="2" w:firstLine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是否积极参与新冠抗疫工作</w:t>
            </w:r>
          </w:p>
        </w:tc>
        <w:tc>
          <w:tcPr>
            <w:tcW w:w="1140" w:type="dxa"/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2.5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参加抗疫受区县级以上部门表彰的每次记2分；镇政府或街道办表彰的每次记1分；参与新冠抗疫活动的每次记1分。同一次行为，只计算一次最高得分，计满为止。需提供相关记录和证明材料。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总计分</w:t>
            </w:r>
          </w:p>
        </w:tc>
        <w:tc>
          <w:tcPr>
            <w:tcW w:w="1140" w:type="dxa"/>
            <w:vAlign w:val="center"/>
          </w:tcPr>
          <w:p>
            <w:pPr>
              <w:spacing w:before="157" w:line="180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0"/>
                <w:szCs w:val="20"/>
              </w:rPr>
              <w:t>20</w:t>
            </w:r>
          </w:p>
        </w:tc>
        <w:tc>
          <w:tcPr>
            <w:tcW w:w="6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</w:tbl>
    <w:p>
      <w:pPr>
        <w:rPr>
          <w:rFonts w:hint="eastAsia" w:eastAsiaTheme="minorEastAsia"/>
        </w:rPr>
      </w:pPr>
      <w:r>
        <w:rPr>
          <w:rFonts w:hint="eastAsia" w:eastAsiaTheme="minorEastAsia"/>
        </w:rPr>
        <w:t xml:space="preserve">  </w:t>
      </w:r>
    </w:p>
    <w:p>
      <w:pPr>
        <w:rPr>
          <w:rFonts w:hint="eastAsia" w:eastAsiaTheme="minorEastAsia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（六）百强企业安全生产和人力资源评分加分细则</w:t>
      </w:r>
    </w:p>
    <w:p>
      <w:pPr>
        <w:spacing w:line="90" w:lineRule="exact"/>
      </w:pPr>
    </w:p>
    <w:tbl>
      <w:tblPr>
        <w:tblStyle w:val="6"/>
        <w:tblpPr w:leftFromText="180" w:rightFromText="180" w:vertAnchor="text" w:horzAnchor="page" w:tblpX="758" w:tblpY="215"/>
        <w:tblOverlap w:val="never"/>
        <w:tblW w:w="15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365"/>
        <w:gridCol w:w="2865"/>
        <w:gridCol w:w="1155"/>
        <w:gridCol w:w="6540"/>
        <w:gridCol w:w="1260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10" w:type="dxa"/>
            <w:vAlign w:val="center"/>
          </w:tcPr>
          <w:p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职工人数</w:t>
            </w:r>
          </w:p>
        </w:tc>
        <w:tc>
          <w:tcPr>
            <w:tcW w:w="2865" w:type="dxa"/>
            <w:vAlign w:val="center"/>
          </w:tcPr>
          <w:p>
            <w:pPr>
              <w:spacing w:before="56" w:line="18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职工人数</w:t>
            </w:r>
          </w:p>
        </w:tc>
        <w:tc>
          <w:tcPr>
            <w:tcW w:w="1155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4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员工总数20-50人记1分，50-100人记2分，100-200人记3分，200人以上记4分。需提供企业社保清单。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10" w:type="dxa"/>
            <w:vAlign w:val="center"/>
          </w:tcPr>
          <w:p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56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职称人员</w:t>
            </w:r>
          </w:p>
        </w:tc>
        <w:tc>
          <w:tcPr>
            <w:tcW w:w="2865" w:type="dxa"/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员工职称数量</w:t>
            </w:r>
          </w:p>
        </w:tc>
        <w:tc>
          <w:tcPr>
            <w:tcW w:w="1155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4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中级职称每人0.4分，高级职称每人0.5分，教授级高工每人1分，计满为止。提供职称证书以及三库一平台查询截图。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10" w:type="dxa"/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注册人员</w:t>
            </w:r>
          </w:p>
        </w:tc>
        <w:tc>
          <w:tcPr>
            <w:tcW w:w="2865" w:type="dxa"/>
            <w:vAlign w:val="center"/>
          </w:tcPr>
          <w:p>
            <w:pPr>
              <w:spacing w:before="55" w:line="228" w:lineRule="auto"/>
              <w:ind w:left="27" w:leftChars="0"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注册建造师，注册造价工程师人数</w:t>
            </w:r>
          </w:p>
        </w:tc>
        <w:tc>
          <w:tcPr>
            <w:tcW w:w="1155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二级注册建造师每人0.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分，一级注册建造师每人0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.4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分，注册造价工程师每人记0.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分，计满为止。需提供注册建造师证书和安全考核B证及社保证明。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10" w:type="dxa"/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专职人员</w:t>
            </w:r>
          </w:p>
        </w:tc>
        <w:tc>
          <w:tcPr>
            <w:tcW w:w="2865" w:type="dxa"/>
            <w:vAlign w:val="center"/>
          </w:tcPr>
          <w:p>
            <w:pPr>
              <w:spacing w:before="55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施工技术力量人数</w:t>
            </w:r>
          </w:p>
        </w:tc>
        <w:tc>
          <w:tcPr>
            <w:tcW w:w="1155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施工员、资料员、材料员、质量员、专职安全员每人记0.5分，计满为止。需提供证书及社保证明。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10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5</w:t>
            </w:r>
          </w:p>
        </w:tc>
        <w:tc>
          <w:tcPr>
            <w:tcW w:w="1365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安全生产管理制度</w:t>
            </w:r>
          </w:p>
        </w:tc>
        <w:tc>
          <w:tcPr>
            <w:tcW w:w="2865" w:type="dxa"/>
            <w:shd w:val="clear" w:color="auto" w:fill="FFFFFF"/>
            <w:vAlign w:val="center"/>
          </w:tcPr>
          <w:p>
            <w:pPr>
              <w:spacing w:before="55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安全生产管理制度是否合规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540" w:type="dxa"/>
            <w:shd w:val="clear" w:color="auto" w:fill="FFFFFF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企业有制定安全生产管理制度记2分，企业安全生产管理制度是否完善专家打分完善的记2分，计满为止。需提供企业安全生产管理制度。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0"/>
                <w:szCs w:val="20"/>
              </w:rPr>
              <w:t>总计分</w:t>
            </w:r>
          </w:p>
        </w:tc>
        <w:tc>
          <w:tcPr>
            <w:tcW w:w="1155" w:type="dxa"/>
            <w:vAlign w:val="center"/>
          </w:tcPr>
          <w:p>
            <w:pPr>
              <w:spacing w:before="238" w:line="18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54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</w:t>
      </w:r>
    </w:p>
    <w:sectPr>
      <w:headerReference r:id="rId3" w:type="default"/>
      <w:footerReference r:id="rId4" w:type="default"/>
      <w:pgSz w:w="16838" w:h="11906" w:orient="landscape"/>
      <w:pgMar w:top="612" w:right="703" w:bottom="612" w:left="7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WI1ZjEzNGRmZDkxYmZiZjZlOTU0YmY0ODJlOGUifQ=="/>
  </w:docVars>
  <w:rsids>
    <w:rsidRoot w:val="5C6E6B1E"/>
    <w:rsid w:val="007E5A91"/>
    <w:rsid w:val="018B248D"/>
    <w:rsid w:val="031B2C7F"/>
    <w:rsid w:val="05CB200E"/>
    <w:rsid w:val="09561ABD"/>
    <w:rsid w:val="09992B4F"/>
    <w:rsid w:val="09E01D47"/>
    <w:rsid w:val="0BF22C04"/>
    <w:rsid w:val="0C224B28"/>
    <w:rsid w:val="0DD9599C"/>
    <w:rsid w:val="118B46B1"/>
    <w:rsid w:val="15A25A16"/>
    <w:rsid w:val="16113A6D"/>
    <w:rsid w:val="17852965"/>
    <w:rsid w:val="17914E66"/>
    <w:rsid w:val="17CE3BE1"/>
    <w:rsid w:val="18F77C98"/>
    <w:rsid w:val="1BC3580A"/>
    <w:rsid w:val="1C275AA2"/>
    <w:rsid w:val="1E834FD3"/>
    <w:rsid w:val="27DD7C53"/>
    <w:rsid w:val="29E90B31"/>
    <w:rsid w:val="2B324CAE"/>
    <w:rsid w:val="2C5F332D"/>
    <w:rsid w:val="2CE850D0"/>
    <w:rsid w:val="2CE85996"/>
    <w:rsid w:val="2DBD030B"/>
    <w:rsid w:val="31813D45"/>
    <w:rsid w:val="344C063B"/>
    <w:rsid w:val="3A7D6B2B"/>
    <w:rsid w:val="3B8C756F"/>
    <w:rsid w:val="3CCD42E3"/>
    <w:rsid w:val="3ED71527"/>
    <w:rsid w:val="3FBC2239"/>
    <w:rsid w:val="40C35ABF"/>
    <w:rsid w:val="410F6C78"/>
    <w:rsid w:val="43495316"/>
    <w:rsid w:val="484A2C8B"/>
    <w:rsid w:val="48F6033B"/>
    <w:rsid w:val="49655425"/>
    <w:rsid w:val="49FE054C"/>
    <w:rsid w:val="4B920BD1"/>
    <w:rsid w:val="4EB250E6"/>
    <w:rsid w:val="4EE87F4A"/>
    <w:rsid w:val="513D6ABB"/>
    <w:rsid w:val="51A056CA"/>
    <w:rsid w:val="51CE66DB"/>
    <w:rsid w:val="536C7F5A"/>
    <w:rsid w:val="545D78A2"/>
    <w:rsid w:val="55020B76"/>
    <w:rsid w:val="5683387F"/>
    <w:rsid w:val="571A010D"/>
    <w:rsid w:val="59C92758"/>
    <w:rsid w:val="5A672A11"/>
    <w:rsid w:val="5B7C58B9"/>
    <w:rsid w:val="5C6E6B1E"/>
    <w:rsid w:val="5CB20FEC"/>
    <w:rsid w:val="5D2E6280"/>
    <w:rsid w:val="618A333F"/>
    <w:rsid w:val="623228BC"/>
    <w:rsid w:val="63953DDD"/>
    <w:rsid w:val="66C32DAD"/>
    <w:rsid w:val="67EC6955"/>
    <w:rsid w:val="68F6059A"/>
    <w:rsid w:val="691E3F61"/>
    <w:rsid w:val="693115D2"/>
    <w:rsid w:val="6BDD334B"/>
    <w:rsid w:val="6C635F46"/>
    <w:rsid w:val="701A25A5"/>
    <w:rsid w:val="73953409"/>
    <w:rsid w:val="74596EC7"/>
    <w:rsid w:val="748E78D8"/>
    <w:rsid w:val="76F325D4"/>
    <w:rsid w:val="77672662"/>
    <w:rsid w:val="782E3942"/>
    <w:rsid w:val="788E2390"/>
    <w:rsid w:val="7927654D"/>
    <w:rsid w:val="7A460C55"/>
    <w:rsid w:val="7B6E75B9"/>
    <w:rsid w:val="7C2E374F"/>
    <w:rsid w:val="7D5B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3062</Words>
  <Characters>3407</Characters>
  <Lines>0</Lines>
  <Paragraphs>0</Paragraphs>
  <TotalTime>0</TotalTime>
  <ScaleCrop>false</ScaleCrop>
  <LinksUpToDate>false</LinksUpToDate>
  <CharactersWithSpaces>3811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2021-12-15T01:41:00Z</dcterms:created>
  <dc:creator>Kingdom.</dc:creator>
  <cp:lastModifiedBy>Kingdom.</cp:lastModifiedBy>
  <dcterms:modified xsi:type="dcterms:W3CDTF">2022-06-27T01:14:42Z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6FA0ECFCC4804D30A58B9A602BA950FD</vt:lpwstr>
  </property>
  <property fmtid="{D5CDD505-2E9C-101B-9397-08002B2CF9AE}" pid="4" name="commondata">
    <vt:lpwstr>eyJoZGlkIjoiMDJlYjY4NWMzYjkxYTQyNmI2ZWIzMDNkMjMwZjYyZjkifQ==</vt:lpwstr>
  </property>
</Properties>
</file>